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45DE3" w14:textId="78DAFCD3" w:rsidR="00574DA9" w:rsidRPr="00AD5AA0" w:rsidRDefault="00574DA9" w:rsidP="00633320">
      <w:pPr>
        <w:spacing w:before="0"/>
        <w:rPr>
          <w:rStyle w:val="href"/>
          <w:sz w:val="16"/>
          <w:szCs w:val="16"/>
          <w:lang w:val="es-ES"/>
        </w:rPr>
      </w:pPr>
      <w:r w:rsidRPr="00AD5AA0">
        <w:rPr>
          <w:rStyle w:val="href"/>
          <w:sz w:val="16"/>
          <w:szCs w:val="16"/>
          <w:lang w:val="es-ES"/>
        </w:rPr>
        <w:t>(ADD RRB21/479)</w:t>
      </w:r>
    </w:p>
    <w:p w14:paraId="3C65F592" w14:textId="77777777" w:rsidR="0030767B" w:rsidRPr="00AD5AA0" w:rsidRDefault="0030767B" w:rsidP="00AD5AA0">
      <w:pPr>
        <w:pStyle w:val="Heading1"/>
        <w:spacing w:before="360"/>
        <w:ind w:left="0" w:firstLine="0"/>
        <w:jc w:val="center"/>
        <w:rPr>
          <w:lang w:val="es-ES"/>
        </w:rPr>
      </w:pPr>
      <w:r w:rsidRPr="00AD5AA0">
        <w:rPr>
          <w:lang w:val="es-ES"/>
        </w:rPr>
        <w:t xml:space="preserve">Reglas relativas a la ampliación del plazo reglamentario de puesta </w:t>
      </w:r>
      <w:r w:rsidRPr="00AD5AA0">
        <w:rPr>
          <w:lang w:val="es-ES"/>
        </w:rPr>
        <w:br/>
        <w:t>en servicio de asignaciones de satélites</w:t>
      </w:r>
    </w:p>
    <w:p w14:paraId="2E8AC3D2" w14:textId="77777777" w:rsidR="0030767B" w:rsidRPr="0030767B" w:rsidRDefault="0030767B" w:rsidP="0030767B">
      <w:pPr>
        <w:tabs>
          <w:tab w:val="left" w:pos="3402"/>
        </w:tabs>
        <w:spacing w:before="360"/>
        <w:rPr>
          <w:szCs w:val="24"/>
          <w:lang w:val="es-ES"/>
        </w:rPr>
      </w:pPr>
      <w:r w:rsidRPr="0030767B">
        <w:rPr>
          <w:szCs w:val="24"/>
          <w:lang w:val="es-ES"/>
        </w:rPr>
        <w:t>La CMR-12 adoptó la siguiente decisión relativa a la ampliación del plazo reglamentario de puesta en servicio de asignaciones de satélites, véase el párrafo 3.20 del Acta de la 13ª Sesión Plenaria, Doc. CMR12/554:</w:t>
      </w:r>
    </w:p>
    <w:p w14:paraId="1C872AB4" w14:textId="77777777" w:rsidR="0030767B" w:rsidRPr="0030767B" w:rsidRDefault="0030767B" w:rsidP="0030767B">
      <w:pPr>
        <w:tabs>
          <w:tab w:val="left" w:pos="3402"/>
        </w:tabs>
        <w:rPr>
          <w:szCs w:val="24"/>
          <w:lang w:val="es-ES"/>
        </w:rPr>
      </w:pPr>
      <w:r w:rsidRPr="0030767B">
        <w:rPr>
          <w:bCs/>
          <w:szCs w:val="24"/>
          <w:lang w:val="es-ES"/>
        </w:rPr>
        <w:t>«3.20</w:t>
      </w:r>
      <w:r w:rsidRPr="0030767B">
        <w:rPr>
          <w:bCs/>
          <w:szCs w:val="24"/>
          <w:lang w:val="es-ES"/>
        </w:rPr>
        <w:tab/>
      </w:r>
      <w:r w:rsidRPr="0030767B">
        <w:rPr>
          <w:szCs w:val="24"/>
          <w:lang w:val="es-ES"/>
        </w:rPr>
        <w:t xml:space="preserve">El </w:t>
      </w:r>
      <w:r w:rsidRPr="0030767B">
        <w:rPr>
          <w:b/>
          <w:bCs/>
          <w:szCs w:val="24"/>
          <w:lang w:val="es-ES"/>
        </w:rPr>
        <w:t>Presidente de la Comisión 5</w:t>
      </w:r>
      <w:r w:rsidRPr="0030767B">
        <w:rPr>
          <w:szCs w:val="24"/>
          <w:lang w:val="es-ES"/>
        </w:rPr>
        <w:t xml:space="preserve"> presenta el Documento </w:t>
      </w:r>
      <w:r w:rsidRPr="0030767B">
        <w:rPr>
          <w:b/>
          <w:bCs/>
          <w:szCs w:val="24"/>
          <w:lang w:val="es-ES"/>
        </w:rPr>
        <w:t>525</w:t>
      </w:r>
      <w:r w:rsidRPr="0030767B">
        <w:rPr>
          <w:szCs w:val="24"/>
          <w:lang w:val="es-ES"/>
        </w:rPr>
        <w:t xml:space="preserve"> diciendo que abarca cuatro temas relativos al punto 7 del orden del día y un relativo al punto 8.1.2 del orden del día. El primer tema relativo al punto 7 del orden del día atañe a la ampliación del plazo reglamentario para la puesta en servicio de asignaciones de satélites por retrasos de lanzamiento que están más allá del control de la administración. En el seno de la Comisión 5 se han tratado algunas propuestas de nueva Resolución de la CMR que permita ampliaciones limitadas y seleccionadas en el caso de retrasos en lanzamientos colectivos de satélites y para extender dichas ampliaciones a los casos de fuerza mayor. Sin embargo, al haber ciertas reticencias de cara a crear una Resolución y habida cuenta de que tales casos se podrán presentar ante la Junta del Reglamento de Radiocomunicaciones o ante futuras Conferencias individualmente, la Comisión no siguió por esa vía. …»</w:t>
      </w:r>
    </w:p>
    <w:p w14:paraId="087E05F3" w14:textId="77777777" w:rsidR="0030767B" w:rsidRPr="0030767B" w:rsidRDefault="0030767B" w:rsidP="0030767B">
      <w:pPr>
        <w:tabs>
          <w:tab w:val="left" w:pos="3402"/>
        </w:tabs>
        <w:rPr>
          <w:szCs w:val="24"/>
          <w:lang w:val="es-ES"/>
        </w:rPr>
      </w:pPr>
      <w:r w:rsidRPr="0030767B">
        <w:rPr>
          <w:szCs w:val="24"/>
          <w:lang w:val="es-ES"/>
        </w:rPr>
        <w:t>La CMR-15 adoptó la siguiente decisión relativa a la ampliación del plazo reglamentario de puesta en servicio de asignaciones de satélites, véase el párrafo 3.19 del Acta de la 7ª Sesión Plenaria, Doc. CMR15/504:</w:t>
      </w:r>
    </w:p>
    <w:p w14:paraId="65B6E47C" w14:textId="77777777" w:rsidR="0030767B" w:rsidRPr="0030767B" w:rsidRDefault="0030767B" w:rsidP="0030767B">
      <w:pPr>
        <w:tabs>
          <w:tab w:val="left" w:pos="3402"/>
        </w:tabs>
        <w:rPr>
          <w:szCs w:val="24"/>
          <w:lang w:val="es-ES"/>
        </w:rPr>
      </w:pPr>
      <w:r w:rsidRPr="0030767B">
        <w:rPr>
          <w:szCs w:val="24"/>
          <w:lang w:val="es-ES"/>
        </w:rPr>
        <w:t>«3.19 (…) Al examinar la cuestión del fallo del lanzamiento de un satélite, la CMR-15 confirma la decisión adoptada por la CMR-12 (en su decimotercera reunión) en cuanto a que la Junta esté facultada para atender las solicitudes de prórroga cuando éstas se basen en problemas debidos al lanzamiento de otro satélite o a un caso excepcional de fuerza mayor, teniendo en cuenta las reglas y prácticas aplicables al respecto a nivel internacional, siempre y cuando esa prórroga sea «limitada y condicional».»</w:t>
      </w:r>
    </w:p>
    <w:p w14:paraId="34686581" w14:textId="77777777" w:rsidR="0030767B" w:rsidRPr="0030767B" w:rsidRDefault="0030767B" w:rsidP="0030767B">
      <w:pPr>
        <w:tabs>
          <w:tab w:val="left" w:pos="3402"/>
        </w:tabs>
        <w:rPr>
          <w:szCs w:val="24"/>
          <w:lang w:val="es-ES"/>
        </w:rPr>
      </w:pPr>
      <w:r w:rsidRPr="0030767B">
        <w:rPr>
          <w:szCs w:val="24"/>
          <w:lang w:val="es-ES"/>
        </w:rPr>
        <w:t>La CMR-19 adoptó la siguiente decisión relativa a las situaciones de retraso por motivo de lanzamiento colectivo y la utilización de propulsión eléctrica, véase el párrafo 3.16 del Acta de la 8ª Sesión Plenaria, Doc. CMR19/569:</w:t>
      </w:r>
    </w:p>
    <w:p w14:paraId="240AD464" w14:textId="77777777" w:rsidR="0030767B" w:rsidRPr="0030767B" w:rsidRDefault="0030767B" w:rsidP="0030767B">
      <w:pPr>
        <w:tabs>
          <w:tab w:val="left" w:pos="3402"/>
        </w:tabs>
        <w:rPr>
          <w:szCs w:val="24"/>
          <w:lang w:val="es-ES"/>
        </w:rPr>
      </w:pPr>
      <w:r w:rsidRPr="0030767B">
        <w:rPr>
          <w:szCs w:val="24"/>
          <w:lang w:val="es-ES"/>
        </w:rPr>
        <w:t>«3.16 (…) En la sección 4.3.4 «Situaciones de retraso por lanzamiento colectivo», la CMR-19 decidió que la Junta estudiaría requerir la presentación de la siguiente información para la gestión de la solicitud de prórroga de los plazos reglamentarios debido a un retraso por lanzamiento colectivo:</w:t>
      </w:r>
    </w:p>
    <w:p w14:paraId="4E82C197" w14:textId="77777777" w:rsidR="0030767B" w:rsidRPr="0030767B" w:rsidRDefault="0030767B" w:rsidP="0030767B">
      <w:pPr>
        <w:pStyle w:val="enumlev1"/>
        <w:rPr>
          <w:lang w:val="es-ES"/>
        </w:rPr>
      </w:pPr>
      <w:r w:rsidRPr="0030767B">
        <w:rPr>
          <w:lang w:val="es-ES"/>
        </w:rPr>
        <w:t>–</w:t>
      </w:r>
      <w:r w:rsidRPr="0030767B">
        <w:rPr>
          <w:lang w:val="es-ES"/>
        </w:rPr>
        <w:tab/>
        <w:t>una descripción resumida del satélite que se va a lanzar, incluidas las bandas de frecuencias;</w:t>
      </w:r>
    </w:p>
    <w:p w14:paraId="09499FB7"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el nombre del fabricante seleccionado para fabricar el satélite y la fecha de firma del contrato;</w:t>
      </w:r>
    </w:p>
    <w:p w14:paraId="6880EB7F"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el estado relativo a la construcción del satélite, incluida la fecha en que se inició la construcción y si estaba previsto concluirla antes la ventana de lanzamiento inicial;</w:t>
      </w:r>
    </w:p>
    <w:p w14:paraId="34D753EF"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el nombre del proveedor del servicio de lanzamiento y la fecha de firma del contrato;</w:t>
      </w:r>
    </w:p>
    <w:p w14:paraId="43BBC7C6" w14:textId="77777777" w:rsidR="0030767B" w:rsidRPr="0030767B" w:rsidRDefault="0030767B" w:rsidP="009C4899">
      <w:pPr>
        <w:pStyle w:val="enumlev1"/>
        <w:rPr>
          <w:szCs w:val="24"/>
          <w:lang w:val="es-ES"/>
        </w:rPr>
      </w:pPr>
      <w:r w:rsidRPr="0030767B">
        <w:rPr>
          <w:szCs w:val="24"/>
          <w:lang w:val="es-ES"/>
        </w:rPr>
        <w:t>–</w:t>
      </w:r>
      <w:r w:rsidRPr="0030767B">
        <w:rPr>
          <w:szCs w:val="24"/>
          <w:lang w:val="es-ES"/>
        </w:rPr>
        <w:tab/>
        <w:t>la ventana de lanzamiento inicial y la revisada;</w:t>
      </w:r>
    </w:p>
    <w:p w14:paraId="15EBC981" w14:textId="77777777" w:rsidR="0030767B" w:rsidRPr="0030767B" w:rsidRDefault="0030767B" w:rsidP="0030767B">
      <w:pPr>
        <w:pStyle w:val="enumlev1"/>
        <w:rPr>
          <w:szCs w:val="24"/>
          <w:lang w:val="es-ES"/>
        </w:rPr>
      </w:pPr>
      <w:r w:rsidRPr="0030767B">
        <w:rPr>
          <w:szCs w:val="24"/>
          <w:lang w:val="es-ES"/>
        </w:rPr>
        <w:lastRenderedPageBreak/>
        <w:t>–</w:t>
      </w:r>
      <w:r w:rsidRPr="0030767B">
        <w:rPr>
          <w:szCs w:val="24"/>
          <w:lang w:val="es-ES"/>
        </w:rPr>
        <w:tab/>
        <w:t>información suficientemente detallada para justificar que la solicitud de ampliación se debe a un retraso del lanzamiento colectivo (por ejemplo, una carta del proveedor del servicio de lanzamiento indicando que se retrasa el lanzamiento debido a un retraso que afecta al otro satélite pasajero);</w:t>
      </w:r>
    </w:p>
    <w:p w14:paraId="119E13C9"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información detallada suficiente para justificar la duración de la prórroga solicitada; y</w:t>
      </w:r>
    </w:p>
    <w:p w14:paraId="7869C927"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cualquier otra información y documentación pertinente.</w:t>
      </w:r>
    </w:p>
    <w:p w14:paraId="530B1817" w14:textId="0D56D3C8" w:rsidR="008B2CEF" w:rsidRPr="00F154CB" w:rsidRDefault="0030767B" w:rsidP="0030767B">
      <w:pPr>
        <w:tabs>
          <w:tab w:val="left" w:pos="3402"/>
        </w:tabs>
        <w:spacing w:before="120" w:line="280" w:lineRule="exact"/>
        <w:rPr>
          <w:szCs w:val="24"/>
          <w:lang w:val="es-ES"/>
        </w:rPr>
      </w:pPr>
      <w:r w:rsidRPr="0030767B">
        <w:rPr>
          <w:szCs w:val="24"/>
          <w:lang w:val="es-ES"/>
        </w:rPr>
        <w:t>Al examinar las solicitudes que se consideran como fuerza mayor o retraso por lanzamiento colectivo, la CMR-19 encarga a la Junta del Reglamento de Radiocomunicaciones que siga teniendo en cuenta el uso de la propulsión eléctrica caso por caso antes de tomar una decisión sobre la duración de la prórroga, en función de los méritos de cada caso.»</w:t>
      </w:r>
    </w:p>
    <w:p w14:paraId="016C9B9E" w14:textId="77777777" w:rsidR="00B63DC3" w:rsidRPr="0069500F" w:rsidRDefault="00B63DC3" w:rsidP="0023544A">
      <w:pPr>
        <w:jc w:val="center"/>
      </w:pPr>
      <w:r w:rsidRPr="0069500F">
        <w:t>___________________</w:t>
      </w:r>
    </w:p>
    <w:p w14:paraId="3E9A9A72" w14:textId="527CDBBA" w:rsidR="00B63DC3" w:rsidRDefault="00B63DC3" w:rsidP="00B63DC3"/>
    <w:p w14:paraId="1B064F4E" w14:textId="5C1D29EB" w:rsidR="008919D9" w:rsidRDefault="008919D9" w:rsidP="00B63DC3"/>
    <w:p w14:paraId="65DDFA41" w14:textId="0FD6804F" w:rsidR="008919D9" w:rsidRDefault="008919D9" w:rsidP="00B63DC3"/>
    <w:p w14:paraId="3305115F" w14:textId="55AF9045" w:rsidR="008919D9" w:rsidRDefault="008919D9" w:rsidP="00B63DC3"/>
    <w:p w14:paraId="4B3E828E" w14:textId="3823531C" w:rsidR="00574DA9" w:rsidRDefault="00574DA9" w:rsidP="00B63DC3"/>
    <w:p w14:paraId="3E3824A0" w14:textId="0AE1E499" w:rsidR="00574DA9" w:rsidRDefault="00574DA9" w:rsidP="00B63DC3"/>
    <w:p w14:paraId="170B663A" w14:textId="2B5D6BBB" w:rsidR="00574DA9" w:rsidRDefault="00574DA9" w:rsidP="00B63DC3"/>
    <w:p w14:paraId="39FAA24D" w14:textId="5F3134BE" w:rsidR="00574DA9" w:rsidRDefault="00574DA9" w:rsidP="00B63DC3"/>
    <w:p w14:paraId="7DC155E1" w14:textId="7D08986A" w:rsidR="00574DA9" w:rsidRDefault="00574DA9" w:rsidP="00B63DC3"/>
    <w:p w14:paraId="4DCC0821" w14:textId="77777777" w:rsidR="00574DA9" w:rsidRDefault="00574DA9" w:rsidP="00B63DC3"/>
    <w:p w14:paraId="704778B5" w14:textId="77777777" w:rsidR="008919D9" w:rsidRDefault="008919D9" w:rsidP="00B63DC3"/>
    <w:p w14:paraId="4C23DB09" w14:textId="77777777" w:rsidR="00304A93" w:rsidRDefault="00304A93" w:rsidP="00B63DC3"/>
    <w:p w14:paraId="1696C27C" w14:textId="77777777" w:rsidR="00304A93" w:rsidRDefault="00304A93" w:rsidP="00B63DC3"/>
    <w:sectPr w:rsidR="00304A93" w:rsidSect="0063332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68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0D749" w14:textId="77777777" w:rsidR="00D975F5" w:rsidRDefault="00D975F5">
      <w:r>
        <w:separator/>
      </w:r>
    </w:p>
  </w:endnote>
  <w:endnote w:type="continuationSeparator" w:id="0">
    <w:p w14:paraId="7CC38285" w14:textId="77777777" w:rsidR="00D975F5" w:rsidRDefault="00D9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7D0D" w14:textId="77777777" w:rsidR="00A97189" w:rsidRDefault="00A97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E8F30" w14:textId="77777777" w:rsidR="00A97189" w:rsidRDefault="00A97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621A" w14:textId="77777777" w:rsidR="00A97189" w:rsidRDefault="00A97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425BE" w14:textId="77777777" w:rsidR="00D975F5" w:rsidRDefault="00D975F5">
      <w:r>
        <w:rPr>
          <w:b/>
        </w:rPr>
        <w:t>_______________</w:t>
      </w:r>
    </w:p>
  </w:footnote>
  <w:footnote w:type="continuationSeparator" w:id="0">
    <w:p w14:paraId="768203FF" w14:textId="77777777" w:rsidR="00D975F5" w:rsidRDefault="00D9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426"/>
      <w:gridCol w:w="2977"/>
      <w:gridCol w:w="1275"/>
      <w:gridCol w:w="1126"/>
    </w:tblGrid>
    <w:tr w:rsidR="00574DA9" w14:paraId="248845EB" w14:textId="77777777" w:rsidTr="00A97189">
      <w:trPr>
        <w:cantSplit/>
      </w:trPr>
      <w:tc>
        <w:tcPr>
          <w:tcW w:w="1426" w:type="dxa"/>
          <w:tcBorders>
            <w:top w:val="single" w:sz="6" w:space="0" w:color="auto"/>
            <w:left w:val="single" w:sz="6" w:space="0" w:color="auto"/>
            <w:bottom w:val="single" w:sz="6" w:space="0" w:color="auto"/>
            <w:right w:val="single" w:sz="6" w:space="0" w:color="auto"/>
          </w:tcBorders>
        </w:tcPr>
        <w:p w14:paraId="21D2E61A" w14:textId="583A31AA" w:rsidR="00574DA9" w:rsidRDefault="00574DA9" w:rsidP="00574DA9">
          <w:pPr>
            <w:pStyle w:val="HeaderRegProc"/>
          </w:pPr>
          <w:r>
            <w:t>Part</w:t>
          </w:r>
          <w:r w:rsidR="00D41FDB">
            <w:t>e</w:t>
          </w:r>
          <w:r>
            <w:t xml:space="preserve"> A1</w:t>
          </w:r>
        </w:p>
      </w:tc>
      <w:tc>
        <w:tcPr>
          <w:tcW w:w="2977" w:type="dxa"/>
          <w:tcBorders>
            <w:top w:val="single" w:sz="6" w:space="0" w:color="auto"/>
            <w:left w:val="single" w:sz="6" w:space="0" w:color="auto"/>
            <w:bottom w:val="single" w:sz="6" w:space="0" w:color="auto"/>
            <w:right w:val="single" w:sz="6" w:space="0" w:color="auto"/>
          </w:tcBorders>
        </w:tcPr>
        <w:p w14:paraId="32D229C5" w14:textId="3EF7E22D" w:rsidR="00574DA9" w:rsidRDefault="00A97189" w:rsidP="00A97189">
          <w:pPr>
            <w:pStyle w:val="HeaderRegProc"/>
            <w:ind w:left="57"/>
            <w:jc w:val="left"/>
            <w:rPr>
              <w:lang w:val="fr-FR"/>
            </w:rPr>
          </w:pPr>
          <w:r>
            <w:rPr>
              <w:lang w:val="fr-FR"/>
            </w:rPr>
            <w:t>A</w:t>
          </w:r>
          <w:r w:rsidRPr="00A97189">
            <w:rPr>
              <w:lang w:val="fr-FR"/>
            </w:rPr>
            <w:t>mpliación del plazo reglam</w:t>
          </w:r>
          <w:r>
            <w:rPr>
              <w:lang w:val="fr-FR"/>
            </w:rPr>
            <w:t>ent.</w:t>
          </w:r>
        </w:p>
      </w:tc>
      <w:tc>
        <w:tcPr>
          <w:tcW w:w="1275" w:type="dxa"/>
          <w:tcBorders>
            <w:top w:val="single" w:sz="6" w:space="0" w:color="auto"/>
            <w:left w:val="single" w:sz="6" w:space="0" w:color="auto"/>
            <w:bottom w:val="single" w:sz="6" w:space="0" w:color="auto"/>
            <w:right w:val="single" w:sz="6" w:space="0" w:color="auto"/>
          </w:tcBorders>
        </w:tcPr>
        <w:p w14:paraId="4399387E" w14:textId="6FF1A64F" w:rsidR="00574DA9" w:rsidRDefault="00574DA9" w:rsidP="00574DA9">
          <w:pPr>
            <w:pStyle w:val="HeaderRegProc"/>
            <w:rPr>
              <w:lang w:val="fr-CH"/>
            </w:rPr>
          </w:pPr>
          <w:r>
            <w:rPr>
              <w:lang w:val="fr-FR"/>
            </w:rPr>
            <w:t>p</w:t>
          </w:r>
          <w:r w:rsidR="0030767B">
            <w:rPr>
              <w:lang w:val="fr-FR"/>
            </w:rPr>
            <w:t>á</w:t>
          </w:r>
          <w:r>
            <w:rPr>
              <w:lang w:val="fr-FR"/>
            </w:rPr>
            <w:t>g</w:t>
          </w:r>
          <w:r w:rsidR="0030767B">
            <w:rPr>
              <w:lang w:val="fr-FR"/>
            </w:rPr>
            <w:t>ina</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126" w:type="dxa"/>
          <w:tcBorders>
            <w:top w:val="single" w:sz="6" w:space="0" w:color="auto"/>
            <w:left w:val="single" w:sz="6" w:space="0" w:color="auto"/>
            <w:bottom w:val="single" w:sz="6" w:space="0" w:color="auto"/>
            <w:right w:val="single" w:sz="6" w:space="0" w:color="auto"/>
          </w:tcBorders>
        </w:tcPr>
        <w:p w14:paraId="68191004" w14:textId="570AE684" w:rsidR="00574DA9" w:rsidRDefault="00574DA9" w:rsidP="00574DA9">
          <w:pPr>
            <w:pStyle w:val="HeaderRegProc"/>
            <w:rPr>
              <w:lang w:val="fr-CH"/>
            </w:rPr>
          </w:pPr>
          <w:r>
            <w:rPr>
              <w:lang w:val="fr-CH"/>
            </w:rPr>
            <w:t>r</w:t>
          </w:r>
          <w:r w:rsidR="0030767B">
            <w:rPr>
              <w:lang w:val="fr-CH"/>
            </w:rPr>
            <w:t>e</w:t>
          </w:r>
          <w:r>
            <w:rPr>
              <w:lang w:val="fr-CH"/>
            </w:rPr>
            <w:t xml:space="preserve">v. </w:t>
          </w:r>
          <w:r w:rsidR="008D5DCC">
            <w:rPr>
              <w:lang w:val="fr-CH"/>
            </w:rPr>
            <w:t>2</w:t>
          </w:r>
        </w:p>
      </w:tc>
    </w:tr>
  </w:tbl>
  <w:p w14:paraId="4FF8A148" w14:textId="77777777" w:rsidR="00574DA9" w:rsidRDefault="00574D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2976"/>
      <w:gridCol w:w="1134"/>
      <w:gridCol w:w="1133"/>
    </w:tblGrid>
    <w:tr w:rsidR="00A61CD6" w14:paraId="3B922FC0" w14:textId="77777777" w:rsidTr="00A97189">
      <w:trPr>
        <w:cantSplit/>
        <w:jc w:val="right"/>
      </w:trPr>
      <w:tc>
        <w:tcPr>
          <w:tcW w:w="1701" w:type="dxa"/>
          <w:tcBorders>
            <w:top w:val="single" w:sz="6" w:space="0" w:color="auto"/>
            <w:left w:val="single" w:sz="6" w:space="0" w:color="auto"/>
            <w:bottom w:val="single" w:sz="6" w:space="0" w:color="auto"/>
            <w:right w:val="single" w:sz="6" w:space="0" w:color="auto"/>
          </w:tcBorders>
        </w:tcPr>
        <w:p w14:paraId="7487DAE1" w14:textId="58D98C4E" w:rsidR="00A61CD6" w:rsidRDefault="00A61CD6" w:rsidP="000A1930">
          <w:pPr>
            <w:pStyle w:val="HeaderRegProc"/>
            <w:ind w:right="360" w:firstLine="360"/>
          </w:pPr>
          <w:r>
            <w:t>Part</w:t>
          </w:r>
          <w:r w:rsidR="000A1930">
            <w:t>e</w:t>
          </w:r>
          <w:r>
            <w:t xml:space="preserve"> A1</w:t>
          </w:r>
        </w:p>
      </w:tc>
      <w:tc>
        <w:tcPr>
          <w:tcW w:w="2976" w:type="dxa"/>
          <w:tcBorders>
            <w:top w:val="single" w:sz="6" w:space="0" w:color="auto"/>
            <w:left w:val="single" w:sz="6" w:space="0" w:color="auto"/>
            <w:bottom w:val="single" w:sz="6" w:space="0" w:color="auto"/>
            <w:right w:val="single" w:sz="6" w:space="0" w:color="auto"/>
          </w:tcBorders>
        </w:tcPr>
        <w:p w14:paraId="1AE4D869" w14:textId="1DD52E4C" w:rsidR="00A61CD6" w:rsidRDefault="00A97189" w:rsidP="00A97189">
          <w:pPr>
            <w:pStyle w:val="HeaderRegProc"/>
            <w:ind w:left="57"/>
            <w:jc w:val="left"/>
            <w:rPr>
              <w:lang w:val="fr-FR"/>
            </w:rPr>
          </w:pPr>
          <w:r>
            <w:rPr>
              <w:lang w:val="fr-FR"/>
            </w:rPr>
            <w:t>A</w:t>
          </w:r>
          <w:r w:rsidRPr="00A97189">
            <w:rPr>
              <w:lang w:val="fr-FR"/>
            </w:rPr>
            <w:t>mpliación del plazo reglam</w:t>
          </w:r>
          <w:r>
            <w:rPr>
              <w:lang w:val="fr-FR"/>
            </w:rPr>
            <w:t>ent.</w:t>
          </w:r>
        </w:p>
      </w:tc>
      <w:tc>
        <w:tcPr>
          <w:tcW w:w="1134" w:type="dxa"/>
          <w:tcBorders>
            <w:top w:val="single" w:sz="6" w:space="0" w:color="auto"/>
            <w:left w:val="single" w:sz="6" w:space="0" w:color="auto"/>
            <w:bottom w:val="single" w:sz="6" w:space="0" w:color="auto"/>
            <w:right w:val="single" w:sz="6" w:space="0" w:color="auto"/>
          </w:tcBorders>
        </w:tcPr>
        <w:p w14:paraId="584EF28F" w14:textId="6786E99A" w:rsidR="00A61CD6" w:rsidRDefault="00A61CD6" w:rsidP="00A61CD6">
          <w:pPr>
            <w:pStyle w:val="HeaderRegProc"/>
            <w:rPr>
              <w:lang w:val="fr-CH"/>
            </w:rPr>
          </w:pPr>
          <w:r>
            <w:rPr>
              <w:lang w:val="fr-FR"/>
            </w:rPr>
            <w:t>p</w:t>
          </w:r>
          <w:r w:rsidR="0030767B">
            <w:rPr>
              <w:lang w:val="fr-FR"/>
            </w:rPr>
            <w:t>á</w:t>
          </w:r>
          <w:r>
            <w:rPr>
              <w:lang w:val="fr-FR"/>
            </w:rPr>
            <w:t>g</w:t>
          </w:r>
          <w:r w:rsidR="0030767B">
            <w:rPr>
              <w:lang w:val="fr-FR"/>
            </w:rPr>
            <w:t>ina</w:t>
          </w:r>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133" w:type="dxa"/>
          <w:tcBorders>
            <w:top w:val="single" w:sz="6" w:space="0" w:color="auto"/>
            <w:left w:val="single" w:sz="6" w:space="0" w:color="auto"/>
            <w:bottom w:val="single" w:sz="6" w:space="0" w:color="auto"/>
            <w:right w:val="single" w:sz="6" w:space="0" w:color="auto"/>
          </w:tcBorders>
        </w:tcPr>
        <w:p w14:paraId="67BC3D8D" w14:textId="69FB05A6" w:rsidR="00A61CD6" w:rsidRDefault="00A61CD6" w:rsidP="00A61CD6">
          <w:pPr>
            <w:pStyle w:val="HeaderRegProc"/>
            <w:rPr>
              <w:lang w:val="fr-CH"/>
            </w:rPr>
          </w:pPr>
          <w:r>
            <w:rPr>
              <w:lang w:val="fr-CH"/>
            </w:rPr>
            <w:t>r</w:t>
          </w:r>
          <w:r w:rsidR="0030767B">
            <w:rPr>
              <w:lang w:val="fr-CH"/>
            </w:rPr>
            <w:t>e</w:t>
          </w:r>
          <w:r>
            <w:rPr>
              <w:lang w:val="fr-CH"/>
            </w:rPr>
            <w:t>v.</w:t>
          </w:r>
          <w:r>
            <w:t xml:space="preserve"> </w:t>
          </w:r>
          <w:r w:rsidR="008D5DCC">
            <w:t>2</w:t>
          </w:r>
        </w:p>
      </w:tc>
    </w:tr>
  </w:tbl>
  <w:p w14:paraId="3368979A" w14:textId="77777777" w:rsidR="001572A9" w:rsidRPr="0023544A" w:rsidRDefault="001572A9" w:rsidP="00633320">
    <w:pPr>
      <w:pStyle w:val="Heade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A6CB9" w14:textId="77777777" w:rsidR="00A97189" w:rsidRDefault="00A97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printFractionalCharacterWidth/>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5BD1"/>
    <w:rsid w:val="00016F65"/>
    <w:rsid w:val="0002490E"/>
    <w:rsid w:val="00051837"/>
    <w:rsid w:val="000659D3"/>
    <w:rsid w:val="00073358"/>
    <w:rsid w:val="00081CA0"/>
    <w:rsid w:val="000A1930"/>
    <w:rsid w:val="000A2CD9"/>
    <w:rsid w:val="000A64E4"/>
    <w:rsid w:val="000B4AC9"/>
    <w:rsid w:val="000D4791"/>
    <w:rsid w:val="00105BC1"/>
    <w:rsid w:val="00121953"/>
    <w:rsid w:val="00155795"/>
    <w:rsid w:val="0015592B"/>
    <w:rsid w:val="001572A9"/>
    <w:rsid w:val="0016133F"/>
    <w:rsid w:val="00172FC3"/>
    <w:rsid w:val="001905D9"/>
    <w:rsid w:val="00195B3F"/>
    <w:rsid w:val="001A3CF5"/>
    <w:rsid w:val="001C15B5"/>
    <w:rsid w:val="001C5231"/>
    <w:rsid w:val="001F4AA8"/>
    <w:rsid w:val="00232FB0"/>
    <w:rsid w:val="0023544A"/>
    <w:rsid w:val="002652A5"/>
    <w:rsid w:val="002A2AAD"/>
    <w:rsid w:val="00304A93"/>
    <w:rsid w:val="0030767B"/>
    <w:rsid w:val="003106BC"/>
    <w:rsid w:val="0035319D"/>
    <w:rsid w:val="00362EDF"/>
    <w:rsid w:val="003640DF"/>
    <w:rsid w:val="00365224"/>
    <w:rsid w:val="00393AE5"/>
    <w:rsid w:val="00393D1B"/>
    <w:rsid w:val="003D115E"/>
    <w:rsid w:val="003F052E"/>
    <w:rsid w:val="00413951"/>
    <w:rsid w:val="00415437"/>
    <w:rsid w:val="004468F6"/>
    <w:rsid w:val="004623C8"/>
    <w:rsid w:val="00496185"/>
    <w:rsid w:val="0049691A"/>
    <w:rsid w:val="00496976"/>
    <w:rsid w:val="004A2559"/>
    <w:rsid w:val="004A29C9"/>
    <w:rsid w:val="004B0823"/>
    <w:rsid w:val="004C0641"/>
    <w:rsid w:val="004C2CD2"/>
    <w:rsid w:val="005034D7"/>
    <w:rsid w:val="00532D1F"/>
    <w:rsid w:val="00533768"/>
    <w:rsid w:val="00552DA9"/>
    <w:rsid w:val="00554361"/>
    <w:rsid w:val="00572EA0"/>
    <w:rsid w:val="00573907"/>
    <w:rsid w:val="00574DA9"/>
    <w:rsid w:val="00587117"/>
    <w:rsid w:val="00593162"/>
    <w:rsid w:val="005A1312"/>
    <w:rsid w:val="005A5B24"/>
    <w:rsid w:val="005A6A45"/>
    <w:rsid w:val="005A7374"/>
    <w:rsid w:val="005B5554"/>
    <w:rsid w:val="005C1258"/>
    <w:rsid w:val="005D64FA"/>
    <w:rsid w:val="005F52EB"/>
    <w:rsid w:val="006137A9"/>
    <w:rsid w:val="00633320"/>
    <w:rsid w:val="0065495A"/>
    <w:rsid w:val="00662E1B"/>
    <w:rsid w:val="00666193"/>
    <w:rsid w:val="0069500F"/>
    <w:rsid w:val="006A5B96"/>
    <w:rsid w:val="006B0BD6"/>
    <w:rsid w:val="006C4168"/>
    <w:rsid w:val="006F2FFC"/>
    <w:rsid w:val="006F5691"/>
    <w:rsid w:val="00705BD1"/>
    <w:rsid w:val="007062FD"/>
    <w:rsid w:val="0073371B"/>
    <w:rsid w:val="00761872"/>
    <w:rsid w:val="00784E3E"/>
    <w:rsid w:val="0081713E"/>
    <w:rsid w:val="00817A56"/>
    <w:rsid w:val="008919D9"/>
    <w:rsid w:val="008B2CEF"/>
    <w:rsid w:val="008D5D08"/>
    <w:rsid w:val="008D5DCC"/>
    <w:rsid w:val="008E33F8"/>
    <w:rsid w:val="008F0A0E"/>
    <w:rsid w:val="00914EF4"/>
    <w:rsid w:val="009402A0"/>
    <w:rsid w:val="00961CAA"/>
    <w:rsid w:val="00966BEF"/>
    <w:rsid w:val="00976694"/>
    <w:rsid w:val="009804BA"/>
    <w:rsid w:val="009A0CF6"/>
    <w:rsid w:val="009C4899"/>
    <w:rsid w:val="009E4EA7"/>
    <w:rsid w:val="009E7087"/>
    <w:rsid w:val="009F3505"/>
    <w:rsid w:val="00A05631"/>
    <w:rsid w:val="00A244E7"/>
    <w:rsid w:val="00A2787A"/>
    <w:rsid w:val="00A44FD1"/>
    <w:rsid w:val="00A61CD6"/>
    <w:rsid w:val="00A83C2C"/>
    <w:rsid w:val="00A96676"/>
    <w:rsid w:val="00A97189"/>
    <w:rsid w:val="00AA32A2"/>
    <w:rsid w:val="00AB1062"/>
    <w:rsid w:val="00AB4677"/>
    <w:rsid w:val="00AD5AA0"/>
    <w:rsid w:val="00AE5055"/>
    <w:rsid w:val="00AF649D"/>
    <w:rsid w:val="00B05101"/>
    <w:rsid w:val="00B27A40"/>
    <w:rsid w:val="00B34F42"/>
    <w:rsid w:val="00B609A2"/>
    <w:rsid w:val="00B63DC3"/>
    <w:rsid w:val="00BA4048"/>
    <w:rsid w:val="00BE472D"/>
    <w:rsid w:val="00BF29F7"/>
    <w:rsid w:val="00BF4C5E"/>
    <w:rsid w:val="00C22DB3"/>
    <w:rsid w:val="00C43873"/>
    <w:rsid w:val="00C535A6"/>
    <w:rsid w:val="00C77365"/>
    <w:rsid w:val="00C82C70"/>
    <w:rsid w:val="00C94CCD"/>
    <w:rsid w:val="00CA3D79"/>
    <w:rsid w:val="00CB38E1"/>
    <w:rsid w:val="00CB72FC"/>
    <w:rsid w:val="00CC13B6"/>
    <w:rsid w:val="00CD0511"/>
    <w:rsid w:val="00CD423D"/>
    <w:rsid w:val="00D130EF"/>
    <w:rsid w:val="00D23E43"/>
    <w:rsid w:val="00D41FDB"/>
    <w:rsid w:val="00D700DC"/>
    <w:rsid w:val="00D84FDC"/>
    <w:rsid w:val="00D905BB"/>
    <w:rsid w:val="00D95169"/>
    <w:rsid w:val="00D975F5"/>
    <w:rsid w:val="00DA1E26"/>
    <w:rsid w:val="00DC6BD3"/>
    <w:rsid w:val="00DF0E47"/>
    <w:rsid w:val="00DF160E"/>
    <w:rsid w:val="00DF1968"/>
    <w:rsid w:val="00E0742F"/>
    <w:rsid w:val="00E1111E"/>
    <w:rsid w:val="00E4410A"/>
    <w:rsid w:val="00E720BB"/>
    <w:rsid w:val="00E82821"/>
    <w:rsid w:val="00E844FD"/>
    <w:rsid w:val="00E85582"/>
    <w:rsid w:val="00EA3B45"/>
    <w:rsid w:val="00EB1CEC"/>
    <w:rsid w:val="00ED3D51"/>
    <w:rsid w:val="00ED6EF7"/>
    <w:rsid w:val="00EE2D54"/>
    <w:rsid w:val="00F154CB"/>
    <w:rsid w:val="00F327DA"/>
    <w:rsid w:val="00F51205"/>
    <w:rsid w:val="00F54ABD"/>
    <w:rsid w:val="00F60C74"/>
    <w:rsid w:val="00F857B2"/>
    <w:rsid w:val="00F878DB"/>
    <w:rsid w:val="00FA6B97"/>
    <w:rsid w:val="00FA79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E577D"/>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 w:type="character" w:customStyle="1" w:styleId="enumlev1Char">
    <w:name w:val="enumlev1 Char"/>
    <w:basedOn w:val="DefaultParagraphFont"/>
    <w:link w:val="enumlev1"/>
    <w:rsid w:val="000A193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5A433-00D2-47F6-9CC1-C83D1177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215</TotalTime>
  <Pages>2</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37a-A11-f</dc:title>
  <dc:subject>GE06 du RR</dc:subject>
  <dc:creator>Composition des Publications</dc:creator>
  <cp:keywords>FOLIOS:  1  -  4</cp:keywords>
  <dc:description>Edition 2009:  10.02.2009/SdN_x000d_
Corr. 24.02.2009/DD  (dict. ok)_x000d_
Corr. ULT:  27.02.2009/DD _x000d_
</dc:description>
  <cp:lastModifiedBy>Catalano Moreira, Rossana</cp:lastModifiedBy>
  <cp:revision>116</cp:revision>
  <cp:lastPrinted>2021-10-27T05:28:00Z</cp:lastPrinted>
  <dcterms:created xsi:type="dcterms:W3CDTF">2012-10-04T09:51:00Z</dcterms:created>
  <dcterms:modified xsi:type="dcterms:W3CDTF">2022-04-06T06:23:00Z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